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  <w:highlight w:val="none"/>
        </w:rPr>
        <w:t xml:space="preserve">постановление губернатора Еврейской автономной области от 11.06.2019 № 150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формирования и использования резерва управленческих кадров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 </w:t>
      </w:r>
      <w:r>
        <w:rPr>
          <w:sz w:val="28"/>
          <w:szCs w:val="28"/>
          <w:highlight w:val="none"/>
        </w:rPr>
        <w:t xml:space="preserve">от 11.06.2019 № 150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формирования и использования резерва управленческих кадров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 Пункт 11 раздела </w:t>
      </w:r>
      <w:r>
        <w:rPr>
          <w:sz w:val="28"/>
          <w:szCs w:val="28"/>
          <w:highlight w:val="none"/>
          <w:lang w:val="en-US"/>
        </w:rPr>
        <w:t xml:space="preserve">I </w:t>
      </w:r>
      <w:r>
        <w:rPr>
          <w:sz w:val="28"/>
          <w:szCs w:val="28"/>
          <w:highlight w:val="none"/>
          <w:lang w:val="ru-RU"/>
        </w:rPr>
        <w:t xml:space="preserve">«Общие положения» дополнить абзацем: «</w:t>
      </w:r>
      <w:r>
        <w:rPr>
          <w:sz w:val="28"/>
          <w:szCs w:val="28"/>
          <w:highlight w:val="none"/>
          <w:lang w:val="ru-RU"/>
        </w:rPr>
        <w:t xml:space="preserve">Включение кандидатов в резерв управленческих кадров на должности, указанные в подпункте 6.3 пункта 6 настоящего Порядка, осуществляется губернатором области на основании рекомендации Комиссии.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1.2. </w:t>
      </w:r>
      <w:r>
        <w:rPr>
          <w:sz w:val="28"/>
          <w:szCs w:val="28"/>
          <w:highlight w:val="none"/>
        </w:rPr>
        <w:t xml:space="preserve">В абзаце втором подпункта 13.2.7 подпункта 13.2 пункта 13 раздела </w:t>
      </w:r>
      <w:r>
        <w:rPr>
          <w:sz w:val="28"/>
          <w:szCs w:val="28"/>
          <w:highlight w:val="none"/>
          <w:lang w:val="en-US"/>
        </w:rPr>
        <w:t xml:space="preserve">II</w:t>
      </w:r>
      <w:r>
        <w:rPr>
          <w:sz w:val="28"/>
          <w:szCs w:val="28"/>
          <w:highlight w:val="none"/>
          <w:lang w:val="ru-RU"/>
        </w:rPr>
        <w:t xml:space="preserve"> «Процедура формирования резерва управленческих кадров путем проведения отбора кандидатов»</w:t>
      </w:r>
      <w:r>
        <w:rPr>
          <w:sz w:val="28"/>
          <w:szCs w:val="28"/>
          <w:highlight w:val="none"/>
        </w:rPr>
        <w:t xml:space="preserve"> слова «</w:t>
      </w:r>
      <w:r>
        <w:rPr>
          <w:sz w:val="28"/>
          <w:szCs w:val="28"/>
          <w:highlight w:val="none"/>
        </w:rPr>
        <w:t xml:space="preserve">утверждается руководителем рабочей группы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утверждаетс</w:t>
      </w:r>
      <w:r>
        <w:rPr>
          <w:sz w:val="28"/>
          <w:szCs w:val="28"/>
          <w:highlight w:val="none"/>
        </w:rPr>
        <w:t xml:space="preserve">я руководителем органа исполнительной власти области».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</w:t>
      </w:r>
      <w:r>
        <w:rPr>
          <w:sz w:val="28"/>
          <w:szCs w:val="28"/>
          <w:highlight w:val="none"/>
        </w:rPr>
        <w:t xml:space="preserve">одпункт 14.3.3 подпункта 14.3 пункта 14раздела </w:t>
      </w:r>
      <w:r>
        <w:rPr>
          <w:sz w:val="28"/>
          <w:szCs w:val="28"/>
          <w:highlight w:val="none"/>
          <w:lang w:val="en-US"/>
        </w:rPr>
        <w:t xml:space="preserve">II</w:t>
      </w:r>
      <w:r>
        <w:rPr>
          <w:sz w:val="28"/>
          <w:szCs w:val="28"/>
          <w:highlight w:val="none"/>
          <w:lang w:val="ru-RU"/>
        </w:rPr>
        <w:t xml:space="preserve"> «Процедура формиров</w:t>
      </w:r>
      <w:r>
        <w:rPr>
          <w:sz w:val="28"/>
          <w:szCs w:val="28"/>
          <w:highlight w:val="none"/>
          <w:lang w:val="ru-RU"/>
        </w:rPr>
        <w:t xml:space="preserve">ания резерва управленческих кадров путем проведения отбора кандидатов»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«14.3.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Управлением государственной службы и кадровой политики области: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 в течение 60 календарных дней со дня представления кандидатами документов (сведений), указанных в абзацах третьем - шестом подпункта 14.3.1 настоящего пункта, проводится проверка достоверности содержащейся в них информации, а также соответствия кандидатов</w:t>
      </w:r>
      <w:r>
        <w:rPr>
          <w:sz w:val="28"/>
          <w:szCs w:val="28"/>
          <w:highlight w:val="none"/>
        </w:rPr>
        <w:t xml:space="preserve"> требованиям, указанным в подпункте 14.3.2 настоящего пункта;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- готовятся на кандидатов, допущенных к включению в резерв управленческих кадров Еврейской автономной области, преставления по форме согласно приложению № 1 к настоящему Порядку. 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 формируется список кандидатов на включение в резерв управленческих кадров по форме согласно приложению № 2 к настоящему Порядку. Список кандидатов на включение в резерв управленческих кадров утверждается председателем Комиссии.».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 xml:space="preserve"> </w:t>
        <w:tab/>
        <w:t xml:space="preserve">   Р.Э. Гольдштейн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</w:instrText>
    </w:r>
    <w:r>
      <w:rPr>
        <w:rStyle w:val="917"/>
      </w:rPr>
      <w:instrText xml:space="preserve">AGE  </w:instrText>
    </w:r>
    <w:r>
      <w:rPr>
        <w:rStyle w:val="917"/>
      </w:rPr>
      <w:fldChar w:fldCharType="separate"/>
    </w:r>
    <w:r>
      <w:rPr>
        <w:rStyle w:val="917"/>
      </w:rPr>
      <w:t xml:space="preserve">2</w: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sz w:val="24"/>
      <w:szCs w:val="24"/>
      <w:lang w:val="ru-RU" w:eastAsia="ru-RU" w:bidi="ar-SA"/>
    </w:rPr>
  </w:style>
  <w:style w:type="character" w:styleId="910">
    <w:name w:val="Основной шрифт абзаца"/>
    <w:next w:val="910"/>
    <w:link w:val="909"/>
    <w:semiHidden/>
  </w:style>
  <w:style w:type="table" w:styleId="911">
    <w:name w:val="Обычная таблица"/>
    <w:next w:val="911"/>
    <w:link w:val="909"/>
    <w:semiHidden/>
    <w:tblPr/>
  </w:style>
  <w:style w:type="numbering" w:styleId="912">
    <w:name w:val="Нет списка"/>
    <w:next w:val="912"/>
    <w:link w:val="909"/>
    <w:semiHidden/>
  </w:style>
  <w:style w:type="table" w:styleId="913">
    <w:name w:val="Сетка таблицы"/>
    <w:basedOn w:val="911"/>
    <w:next w:val="913"/>
    <w:link w:val="909"/>
    <w:tblPr/>
  </w:style>
  <w:style w:type="paragraph" w:styleId="914">
    <w:name w:val="Текст выноски"/>
    <w:basedOn w:val="909"/>
    <w:next w:val="914"/>
    <w:link w:val="909"/>
    <w:semiHidden/>
    <w:rPr>
      <w:rFonts w:ascii="Tahoma" w:hAnsi="Tahoma" w:cs="Tahoma"/>
      <w:sz w:val="16"/>
      <w:szCs w:val="16"/>
    </w:rPr>
  </w:style>
  <w:style w:type="paragraph" w:styleId="915">
    <w:name w:val="Основной текст с отступом"/>
    <w:basedOn w:val="909"/>
    <w:next w:val="915"/>
    <w:link w:val="909"/>
    <w:pPr>
      <w:ind w:firstLine="720"/>
      <w:jc w:val="both"/>
    </w:pPr>
    <w:rPr>
      <w:sz w:val="28"/>
    </w:rPr>
  </w:style>
  <w:style w:type="paragraph" w:styleId="916">
    <w:name w:val="Верхний колонтитул"/>
    <w:basedOn w:val="909"/>
    <w:next w:val="916"/>
    <w:link w:val="909"/>
    <w:pPr>
      <w:tabs>
        <w:tab w:val="center" w:pos="4677" w:leader="none"/>
        <w:tab w:val="right" w:pos="9355" w:leader="none"/>
      </w:tabs>
    </w:pPr>
  </w:style>
  <w:style w:type="character" w:styleId="917">
    <w:name w:val="Номер страницы"/>
    <w:basedOn w:val="910"/>
    <w:next w:val="917"/>
    <w:link w:val="909"/>
  </w:style>
  <w:style w:type="paragraph" w:styleId="918">
    <w:name w:val="Нижний колонтитул"/>
    <w:basedOn w:val="909"/>
    <w:next w:val="918"/>
    <w:link w:val="909"/>
    <w:pPr>
      <w:tabs>
        <w:tab w:val="center" w:pos="4677" w:leader="none"/>
        <w:tab w:val="right" w:pos="9355" w:leader="none"/>
      </w:tabs>
    </w:pPr>
  </w:style>
  <w:style w:type="paragraph" w:styleId="919">
    <w:name w:val="ConsPlusNormal"/>
    <w:next w:val="919"/>
    <w:link w:val="909"/>
    <w:pPr>
      <w:ind w:firstLine="720"/>
    </w:pPr>
    <w:rPr>
      <w:rFonts w:ascii="Arial" w:hAnsi="Arial" w:cs="Arial"/>
      <w:lang w:val="ru-RU" w:eastAsia="ru-RU" w:bidi="ar-SA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30</cp:revision>
  <dcterms:created xsi:type="dcterms:W3CDTF">2022-07-11T01:29:00Z</dcterms:created>
  <dcterms:modified xsi:type="dcterms:W3CDTF">2024-01-29T23:40:12Z</dcterms:modified>
  <cp:version>786432</cp:version>
</cp:coreProperties>
</file>